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3B0B" w:rsidRPr="00453B0B" w:rsidRDefault="00216918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-1073785</wp:posOffset>
                </wp:positionV>
                <wp:extent cx="2743200" cy="457200"/>
                <wp:effectExtent l="0" t="4445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32" w:rsidRPr="003B351E" w:rsidRDefault="000E1932" w:rsidP="003B3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-84.55pt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DTfQ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" stroked="f">
                <v:textbox>
                  <w:txbxContent>
                    <w:p w:rsidR="000E1932" w:rsidRPr="003B351E" w:rsidRDefault="000E1932" w:rsidP="003B351E"/>
                  </w:txbxContent>
                </v:textbox>
              </v:shape>
            </w:pict>
          </mc:Fallback>
        </mc:AlternateContent>
      </w:r>
      <w:r w:rsidR="006E294B">
        <w:rPr>
          <w:rFonts w:ascii="Arial" w:hAnsi="Arial" w:cs="Arial"/>
          <w:sz w:val="22"/>
          <w:szCs w:val="22"/>
        </w:rPr>
        <w:t xml:space="preserve">The </w:t>
      </w:r>
      <w:r w:rsidR="006E294B" w:rsidRPr="006E294B">
        <w:rPr>
          <w:rFonts w:ascii="Arial" w:hAnsi="Arial" w:cs="Arial"/>
          <w:sz w:val="22"/>
          <w:szCs w:val="22"/>
        </w:rPr>
        <w:t>State Penalties Enforcement Registr</w:t>
      </w:r>
      <w:r w:rsidR="006E294B">
        <w:rPr>
          <w:rFonts w:ascii="Arial" w:hAnsi="Arial" w:cs="Arial"/>
          <w:sz w:val="22"/>
          <w:szCs w:val="22"/>
        </w:rPr>
        <w:t>y (</w:t>
      </w:r>
      <w:r w:rsidR="006E294B" w:rsidRPr="006E294B">
        <w:rPr>
          <w:rFonts w:ascii="Arial" w:hAnsi="Arial" w:cs="Arial"/>
          <w:sz w:val="22"/>
          <w:szCs w:val="22"/>
        </w:rPr>
        <w:t>SPER</w:t>
      </w:r>
      <w:r w:rsidR="006E294B">
        <w:rPr>
          <w:rFonts w:ascii="Arial" w:hAnsi="Arial" w:cs="Arial"/>
          <w:sz w:val="22"/>
          <w:szCs w:val="22"/>
        </w:rPr>
        <w:t>)</w:t>
      </w:r>
      <w:r w:rsidR="006E294B" w:rsidRPr="006E294B">
        <w:rPr>
          <w:rFonts w:ascii="Arial" w:hAnsi="Arial" w:cs="Arial"/>
          <w:sz w:val="22"/>
          <w:szCs w:val="22"/>
        </w:rPr>
        <w:t xml:space="preserve"> has been responsible for collecting unpaid fines in </w:t>
      </w:r>
      <w:smartTag w:uri="urn:schemas-microsoft-com:office:smarttags" w:element="place">
        <w:smartTag w:uri="urn:schemas-microsoft-com:office:smarttags" w:element="State">
          <w:r w:rsidR="006E294B" w:rsidRPr="006E294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6E294B" w:rsidRPr="006E294B">
        <w:rPr>
          <w:rFonts w:ascii="Arial" w:hAnsi="Arial" w:cs="Arial"/>
          <w:sz w:val="22"/>
          <w:szCs w:val="22"/>
        </w:rPr>
        <w:t xml:space="preserve"> since 2000.</w:t>
      </w:r>
      <w:r w:rsidR="00453B0B" w:rsidRPr="00877591">
        <w:rPr>
          <w:bCs/>
        </w:rPr>
        <w:t xml:space="preserve">  </w:t>
      </w:r>
      <w:r w:rsidR="00453B0B" w:rsidRPr="00453B0B">
        <w:rPr>
          <w:rFonts w:ascii="Arial" w:hAnsi="Arial" w:cs="Arial"/>
          <w:sz w:val="22"/>
          <w:szCs w:val="22"/>
        </w:rPr>
        <w:t>It provides debtors with a wide range of flexible payment options to facilitate compliance by debtors.</w:t>
      </w:r>
    </w:p>
    <w:p w:rsidR="00453B0B" w:rsidRDefault="00453B0B" w:rsidP="00453B0B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SPER</w:t>
      </w:r>
      <w:r w:rsidR="006E294B" w:rsidRPr="006E294B">
        <w:rPr>
          <w:rFonts w:ascii="Arial" w:hAnsi="Arial" w:cs="Arial"/>
          <w:sz w:val="22"/>
          <w:szCs w:val="22"/>
        </w:rPr>
        <w:t xml:space="preserve"> recovers court ordered fines, which are paid into consolidated revenue, and court ordered restitution or compensation which is paid to victims of crime. </w:t>
      </w:r>
      <w:r w:rsidRPr="006E294B">
        <w:rPr>
          <w:rFonts w:ascii="Arial" w:hAnsi="Arial" w:cs="Arial"/>
          <w:sz w:val="22"/>
          <w:szCs w:val="22"/>
        </w:rPr>
        <w:t>The effective enforcement of court fines reduc</w:t>
      </w:r>
      <w:r>
        <w:rPr>
          <w:rFonts w:ascii="Arial" w:hAnsi="Arial" w:cs="Arial"/>
          <w:sz w:val="22"/>
          <w:szCs w:val="22"/>
        </w:rPr>
        <w:t>es</w:t>
      </w:r>
      <w:r w:rsidRPr="006E294B">
        <w:rPr>
          <w:rFonts w:ascii="Arial" w:hAnsi="Arial" w:cs="Arial"/>
          <w:sz w:val="22"/>
          <w:szCs w:val="22"/>
        </w:rPr>
        <w:t xml:space="preserve"> pressure on the courts by removing lower level offences from the court system.  </w:t>
      </w:r>
    </w:p>
    <w:p w:rsidR="006E294B" w:rsidRDefault="00453B0B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SPER</w:t>
      </w:r>
      <w:r w:rsidR="006E294B" w:rsidRPr="006E294B">
        <w:rPr>
          <w:rFonts w:ascii="Arial" w:hAnsi="Arial" w:cs="Arial"/>
          <w:sz w:val="22"/>
          <w:szCs w:val="22"/>
        </w:rPr>
        <w:t xml:space="preserve"> also recovers infringement notice penalties issued by state government agencies and other administering authorities (for example local authorities).</w:t>
      </w:r>
    </w:p>
    <w:p w:rsidR="00D56154" w:rsidRDefault="00D5615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615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5615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following </w:t>
      </w:r>
      <w:r w:rsidRPr="00D56154">
        <w:rPr>
          <w:rFonts w:ascii="Arial" w:hAnsi="Arial" w:cs="Arial"/>
          <w:bCs/>
          <w:spacing w:val="-3"/>
          <w:sz w:val="22"/>
          <w:szCs w:val="22"/>
        </w:rPr>
        <w:t>activities to facilitate debtor compliance and enhance enforcement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453B0B" w:rsidRPr="00453B0B" w:rsidRDefault="000E1932" w:rsidP="000E1932">
      <w:pPr>
        <w:widowControl w:val="0"/>
        <w:numPr>
          <w:ilvl w:val="1"/>
          <w:numId w:val="6"/>
        </w:numPr>
        <w:tabs>
          <w:tab w:val="clear" w:pos="1440"/>
          <w:tab w:val="num" w:pos="900"/>
          <w:tab w:val="num" w:pos="1701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expansion of driver</w:t>
      </w:r>
      <w:r w:rsidR="00D56154" w:rsidRPr="00D56154">
        <w:rPr>
          <w:rFonts w:ascii="Arial" w:hAnsi="Arial" w:cs="Arial"/>
          <w:sz w:val="22"/>
          <w:szCs w:val="22"/>
        </w:rPr>
        <w:t xml:space="preserve"> licence suspension to non-motor vehicle related offences</w:t>
      </w:r>
      <w:r w:rsidR="00453B0B" w:rsidRPr="00453B0B">
        <w:rPr>
          <w:rFonts w:ascii="Arial" w:hAnsi="Arial" w:cs="Arial"/>
          <w:sz w:val="22"/>
          <w:szCs w:val="22"/>
        </w:rPr>
        <w:t xml:space="preserve"> to capture individuals who incur fines for non-motor vehicle offences.  </w:t>
      </w:r>
      <w:smartTag w:uri="urn:schemas-microsoft-com:office:smarttags" w:element="State">
        <w:r w:rsidR="00453B0B" w:rsidRPr="00453B0B">
          <w:rPr>
            <w:rFonts w:ascii="Arial" w:hAnsi="Arial" w:cs="Arial"/>
            <w:sz w:val="22"/>
            <w:szCs w:val="22"/>
          </w:rPr>
          <w:t>Queensland</w:t>
        </w:r>
      </w:smartTag>
      <w:r w:rsidR="00453B0B" w:rsidRPr="00453B0B">
        <w:rPr>
          <w:rFonts w:ascii="Arial" w:hAnsi="Arial" w:cs="Arial"/>
          <w:sz w:val="22"/>
          <w:szCs w:val="22"/>
        </w:rPr>
        <w:t xml:space="preserve"> and the </w:t>
      </w:r>
      <w:smartTag w:uri="urn:schemas-microsoft-com:office:smarttags" w:element="State">
        <w:smartTag w:uri="urn:schemas-microsoft-com:office:smarttags" w:element="place">
          <w:r w:rsidR="00453B0B" w:rsidRPr="00453B0B">
            <w:rPr>
              <w:rFonts w:ascii="Arial" w:hAnsi="Arial" w:cs="Arial"/>
              <w:sz w:val="22"/>
              <w:szCs w:val="22"/>
            </w:rPr>
            <w:t>Australian Capital Territory</w:t>
          </w:r>
        </w:smartTag>
      </w:smartTag>
      <w:r w:rsidR="00453B0B" w:rsidRPr="00453B0B">
        <w:rPr>
          <w:rFonts w:ascii="Arial" w:hAnsi="Arial" w:cs="Arial"/>
          <w:sz w:val="22"/>
          <w:szCs w:val="22"/>
        </w:rPr>
        <w:t xml:space="preserve"> are the only jurisdictions that do not currently use driver licence suspensions to enforce payment of non-motor vehicle fines</w:t>
      </w:r>
      <w:r>
        <w:rPr>
          <w:rFonts w:ascii="Arial" w:hAnsi="Arial" w:cs="Arial"/>
          <w:sz w:val="22"/>
          <w:szCs w:val="22"/>
        </w:rPr>
        <w:t>;</w:t>
      </w:r>
      <w:r w:rsidR="00453B0B" w:rsidRPr="00453B0B">
        <w:rPr>
          <w:rFonts w:ascii="Arial" w:hAnsi="Arial" w:cs="Arial"/>
          <w:sz w:val="22"/>
          <w:szCs w:val="22"/>
        </w:rPr>
        <w:t xml:space="preserve"> </w:t>
      </w:r>
    </w:p>
    <w:p w:rsidR="00D56154" w:rsidRDefault="000E1932" w:rsidP="000E1932">
      <w:pPr>
        <w:widowControl w:val="0"/>
        <w:numPr>
          <w:ilvl w:val="1"/>
          <w:numId w:val="6"/>
        </w:numPr>
        <w:tabs>
          <w:tab w:val="clear" w:pos="1440"/>
          <w:tab w:val="num" w:pos="900"/>
          <w:tab w:val="num" w:pos="1701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56154" w:rsidRPr="00D56154">
        <w:rPr>
          <w:rFonts w:ascii="Arial" w:hAnsi="Arial" w:cs="Arial"/>
          <w:sz w:val="22"/>
          <w:szCs w:val="22"/>
        </w:rPr>
        <w:t>eizure and s</w:t>
      </w:r>
      <w:r w:rsidR="00D56154">
        <w:rPr>
          <w:rFonts w:ascii="Arial" w:hAnsi="Arial" w:cs="Arial"/>
          <w:sz w:val="22"/>
          <w:szCs w:val="22"/>
        </w:rPr>
        <w:t>ale</w:t>
      </w:r>
      <w:r w:rsidR="00453B0B">
        <w:rPr>
          <w:rFonts w:ascii="Arial" w:hAnsi="Arial" w:cs="Arial"/>
          <w:sz w:val="22"/>
          <w:szCs w:val="22"/>
        </w:rPr>
        <w:t xml:space="preserve">; and </w:t>
      </w:r>
      <w:r w:rsidR="00D56154">
        <w:rPr>
          <w:rFonts w:ascii="Arial" w:hAnsi="Arial" w:cs="Arial"/>
          <w:sz w:val="22"/>
          <w:szCs w:val="22"/>
        </w:rPr>
        <w:t xml:space="preserve"> </w:t>
      </w:r>
    </w:p>
    <w:p w:rsidR="00453B0B" w:rsidRPr="00D56154" w:rsidRDefault="000E1932" w:rsidP="000E1932">
      <w:pPr>
        <w:widowControl w:val="0"/>
        <w:numPr>
          <w:ilvl w:val="1"/>
          <w:numId w:val="6"/>
        </w:numPr>
        <w:tabs>
          <w:tab w:val="clear" w:pos="1440"/>
          <w:tab w:val="num" w:pos="900"/>
          <w:tab w:val="num" w:pos="1701"/>
        </w:tabs>
        <w:spacing w:before="120"/>
        <w:ind w:left="896" w:hanging="539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w</w:t>
      </w:r>
      <w:r w:rsidR="00453B0B" w:rsidRPr="00D56154">
        <w:rPr>
          <w:rFonts w:ascii="Arial" w:hAnsi="Arial" w:cs="Arial"/>
          <w:bCs/>
          <w:spacing w:val="-3"/>
          <w:sz w:val="22"/>
          <w:szCs w:val="22"/>
        </w:rPr>
        <w:t xml:space="preserve">heel </w:t>
      </w:r>
      <w:r w:rsidR="00453B0B" w:rsidRPr="00D56154">
        <w:rPr>
          <w:rFonts w:ascii="Arial" w:hAnsi="Arial" w:cs="Arial"/>
          <w:sz w:val="22"/>
          <w:szCs w:val="22"/>
        </w:rPr>
        <w:t>clamping</w:t>
      </w:r>
      <w:r w:rsidR="00453B0B">
        <w:rPr>
          <w:rFonts w:ascii="Arial" w:hAnsi="Arial" w:cs="Arial"/>
          <w:sz w:val="22"/>
          <w:szCs w:val="22"/>
        </w:rPr>
        <w:t>.</w:t>
      </w:r>
    </w:p>
    <w:p w:rsidR="00A772B4" w:rsidRPr="00A772B4" w:rsidRDefault="00EA00BF" w:rsidP="00A772B4">
      <w:pPr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772B4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6E294B" w:rsidRPr="00A772B4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6D0869" w:rsidRPr="00C07656" w:rsidRDefault="006E294B" w:rsidP="00A772B4">
      <w:pPr>
        <w:numPr>
          <w:ilvl w:val="0"/>
          <w:numId w:val="1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1108B">
        <w:rPr>
          <w:rFonts w:ascii="Arial" w:hAnsi="Arial" w:cs="Arial"/>
          <w:sz w:val="22"/>
          <w:szCs w:val="22"/>
        </w:rPr>
        <w:t xml:space="preserve">Nil </w:t>
      </w: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A772B4">
      <w:headerReference w:type="default" r:id="rId7"/>
      <w:pgSz w:w="11907" w:h="16840" w:code="9"/>
      <w:pgMar w:top="1134" w:right="1134" w:bottom="1134" w:left="1134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FD" w:rsidRDefault="003972FD">
      <w:r>
        <w:separator/>
      </w:r>
    </w:p>
  </w:endnote>
  <w:endnote w:type="continuationSeparator" w:id="0">
    <w:p w:rsidR="003972FD" w:rsidRDefault="0039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FD" w:rsidRDefault="003972FD">
      <w:r>
        <w:separator/>
      </w:r>
    </w:p>
  </w:footnote>
  <w:footnote w:type="continuationSeparator" w:id="0">
    <w:p w:rsidR="003972FD" w:rsidRDefault="0039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32" w:rsidRPr="000400F9" w:rsidRDefault="00216918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3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E1932">
      <w:rPr>
        <w:rFonts w:ascii="Arial" w:hAnsi="Arial" w:cs="Arial"/>
        <w:b/>
        <w:sz w:val="22"/>
        <w:szCs w:val="22"/>
        <w:u w:val="single"/>
      </w:rPr>
      <w:t>July 2009</w:t>
    </w:r>
  </w:p>
  <w:p w:rsidR="000E1932" w:rsidRDefault="000E193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E294B">
      <w:rPr>
        <w:rFonts w:ascii="Arial" w:hAnsi="Arial" w:cs="Arial"/>
        <w:b/>
        <w:sz w:val="22"/>
        <w:szCs w:val="22"/>
        <w:u w:val="single"/>
      </w:rPr>
      <w:t>Strategic Response to the State Penalties Enforcement Registry outstanding fine pool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0E1932" w:rsidRDefault="000E193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Industrial Relations </w:t>
    </w:r>
  </w:p>
  <w:p w:rsidR="000E1932" w:rsidRPr="000400F9" w:rsidRDefault="000E1932" w:rsidP="007D3B9D">
    <w:pPr>
      <w:pStyle w:val="Header"/>
      <w:pBdr>
        <w:bottom w:val="single" w:sz="8" w:space="1" w:color="auto"/>
      </w:pBdr>
      <w:spacing w:line="60" w:lineRule="exact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B12"/>
    <w:multiLevelType w:val="hybridMultilevel"/>
    <w:tmpl w:val="331866F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FCBD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5AB6F6">
      <w:start w:val="1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2E34"/>
    <w:multiLevelType w:val="multilevel"/>
    <w:tmpl w:val="9348C0E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90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D6396"/>
    <w:multiLevelType w:val="hybridMultilevel"/>
    <w:tmpl w:val="78528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61C06"/>
    <w:multiLevelType w:val="multilevel"/>
    <w:tmpl w:val="9CDE737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pacing w:val="20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495" w:hanging="45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90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47EF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176F87"/>
    <w:multiLevelType w:val="hybridMultilevel"/>
    <w:tmpl w:val="E0FA779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038C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9C"/>
    <w:rsid w:val="00011159"/>
    <w:rsid w:val="00015B03"/>
    <w:rsid w:val="00021B34"/>
    <w:rsid w:val="000400F9"/>
    <w:rsid w:val="000B545C"/>
    <w:rsid w:val="000E1932"/>
    <w:rsid w:val="001141E1"/>
    <w:rsid w:val="00133013"/>
    <w:rsid w:val="00133A34"/>
    <w:rsid w:val="001501D0"/>
    <w:rsid w:val="00160524"/>
    <w:rsid w:val="00195830"/>
    <w:rsid w:val="001C6912"/>
    <w:rsid w:val="00216918"/>
    <w:rsid w:val="00254E35"/>
    <w:rsid w:val="0028053C"/>
    <w:rsid w:val="00292154"/>
    <w:rsid w:val="002F57E4"/>
    <w:rsid w:val="00314FEB"/>
    <w:rsid w:val="0032048B"/>
    <w:rsid w:val="00346156"/>
    <w:rsid w:val="00382380"/>
    <w:rsid w:val="003972FD"/>
    <w:rsid w:val="003A269C"/>
    <w:rsid w:val="003A2E0F"/>
    <w:rsid w:val="003A7F16"/>
    <w:rsid w:val="003B351E"/>
    <w:rsid w:val="003C3732"/>
    <w:rsid w:val="003D23D4"/>
    <w:rsid w:val="003E2F1F"/>
    <w:rsid w:val="00435BE5"/>
    <w:rsid w:val="00453B0B"/>
    <w:rsid w:val="0048019C"/>
    <w:rsid w:val="00486A99"/>
    <w:rsid w:val="004E6C38"/>
    <w:rsid w:val="00555FA4"/>
    <w:rsid w:val="0056401D"/>
    <w:rsid w:val="00570E14"/>
    <w:rsid w:val="00581829"/>
    <w:rsid w:val="00596CEC"/>
    <w:rsid w:val="005B1D9B"/>
    <w:rsid w:val="006100CC"/>
    <w:rsid w:val="006350C6"/>
    <w:rsid w:val="00644076"/>
    <w:rsid w:val="006631CF"/>
    <w:rsid w:val="00682036"/>
    <w:rsid w:val="00684B96"/>
    <w:rsid w:val="006B3B54"/>
    <w:rsid w:val="006D0869"/>
    <w:rsid w:val="006E294B"/>
    <w:rsid w:val="006E6713"/>
    <w:rsid w:val="007060D7"/>
    <w:rsid w:val="00726F36"/>
    <w:rsid w:val="007A25F4"/>
    <w:rsid w:val="007A6599"/>
    <w:rsid w:val="007C6CFE"/>
    <w:rsid w:val="007D3B9D"/>
    <w:rsid w:val="007F52D6"/>
    <w:rsid w:val="0082040E"/>
    <w:rsid w:val="00845D3E"/>
    <w:rsid w:val="008A5F1B"/>
    <w:rsid w:val="008B7E17"/>
    <w:rsid w:val="008F44CD"/>
    <w:rsid w:val="00922A5B"/>
    <w:rsid w:val="009A3EE7"/>
    <w:rsid w:val="009D0C12"/>
    <w:rsid w:val="009F5476"/>
    <w:rsid w:val="00A20C0E"/>
    <w:rsid w:val="00A30F55"/>
    <w:rsid w:val="00A44DA3"/>
    <w:rsid w:val="00A772B4"/>
    <w:rsid w:val="00AA128C"/>
    <w:rsid w:val="00AB6637"/>
    <w:rsid w:val="00AE1995"/>
    <w:rsid w:val="00B1108B"/>
    <w:rsid w:val="00B40BDF"/>
    <w:rsid w:val="00B6472E"/>
    <w:rsid w:val="00BF42F4"/>
    <w:rsid w:val="00C07656"/>
    <w:rsid w:val="00C61F9C"/>
    <w:rsid w:val="00C805EC"/>
    <w:rsid w:val="00C85B71"/>
    <w:rsid w:val="00CE6FBA"/>
    <w:rsid w:val="00D54601"/>
    <w:rsid w:val="00D56154"/>
    <w:rsid w:val="00DD3CD5"/>
    <w:rsid w:val="00DD497C"/>
    <w:rsid w:val="00DF4650"/>
    <w:rsid w:val="00E463C2"/>
    <w:rsid w:val="00E83BA0"/>
    <w:rsid w:val="00EA00BF"/>
    <w:rsid w:val="00F22CDF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abinet2text">
    <w:name w:val="Cabinet 2 text"/>
    <w:basedOn w:val="Normal"/>
    <w:rsid w:val="00453B0B"/>
    <w:pPr>
      <w:numPr>
        <w:ilvl w:val="1"/>
        <w:numId w:val="14"/>
      </w:numPr>
      <w:spacing w:before="120"/>
      <w:jc w:val="both"/>
    </w:pPr>
    <w:rPr>
      <w:szCs w:val="20"/>
    </w:rPr>
  </w:style>
  <w:style w:type="paragraph" w:customStyle="1" w:styleId="Cabinet3text">
    <w:name w:val="Cabinet 3 text"/>
    <w:basedOn w:val="Cabinet2text"/>
    <w:rsid w:val="00453B0B"/>
    <w:pPr>
      <w:numPr>
        <w:ilvl w:val="2"/>
      </w:numPr>
    </w:pPr>
  </w:style>
  <w:style w:type="paragraph" w:customStyle="1" w:styleId="Cabinet4text">
    <w:name w:val="Cabinet 4 text"/>
    <w:basedOn w:val="Cabinet2text"/>
    <w:rsid w:val="00453B0B"/>
    <w:pPr>
      <w:numPr>
        <w:ilvl w:val="3"/>
      </w:numPr>
    </w:pPr>
  </w:style>
  <w:style w:type="numbering" w:customStyle="1" w:styleId="cabinet">
    <w:name w:val="cabinet"/>
    <w:rsid w:val="00453B0B"/>
    <w:pPr>
      <w:numPr>
        <w:numId w:val="14"/>
      </w:numPr>
    </w:pPr>
  </w:style>
  <w:style w:type="paragraph" w:customStyle="1" w:styleId="StyleJustified">
    <w:name w:val="Style Justified"/>
    <w:basedOn w:val="Normal"/>
    <w:rsid w:val="00453B0B"/>
    <w:pPr>
      <w:numPr>
        <w:numId w:val="14"/>
      </w:numPr>
      <w:spacing w:before="240"/>
      <w:jc w:val="both"/>
    </w:pPr>
    <w:rPr>
      <w:szCs w:val="20"/>
    </w:rPr>
  </w:style>
  <w:style w:type="paragraph" w:customStyle="1" w:styleId="cabinet5text">
    <w:name w:val="cabinet 5 text"/>
    <w:basedOn w:val="Cabinet2text"/>
    <w:rsid w:val="00453B0B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ridesjk.JUSTICE\Local%20Settings\Temporary%20Internet%20Files\OLK11\Decision%20Summary%20Template%20v0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v0 4.dot</Template>
  <TotalTime>0</TotalTime>
  <Pages>1</Pages>
  <Words>169</Words>
  <Characters>1001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1170</CharactersWithSpaces>
  <SharedDoc>false</SharedDoc>
  <HyperlinkBase>https://www.cabinet.qld.gov.au/documents/2009/Jul/SPER response/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Courts,fines</cp:keywords>
  <dc:description/>
  <cp:lastModifiedBy/>
  <cp:revision>2</cp:revision>
  <cp:lastPrinted>2009-08-17T00:21:00Z</cp:lastPrinted>
  <dcterms:created xsi:type="dcterms:W3CDTF">2017-10-24T22:00:00Z</dcterms:created>
  <dcterms:modified xsi:type="dcterms:W3CDTF">2018-03-06T00:57:00Z</dcterms:modified>
  <cp:category>Courts,Justice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449569212</vt:i4>
  </property>
  <property fmtid="{D5CDD505-2E9C-101B-9397-08002B2CF9AE}" pid="3" name="_NewReviewCycle">
    <vt:lpwstr/>
  </property>
  <property fmtid="{D5CDD505-2E9C-101B-9397-08002B2CF9AE}" pid="4" name="_PreviousAdHocReviewCycleID">
    <vt:i4>-1268716364</vt:i4>
  </property>
  <property fmtid="{D5CDD505-2E9C-101B-9397-08002B2CF9AE}" pid="5" name="_ReviewingToolsShownOnce">
    <vt:lpwstr/>
  </property>
</Properties>
</file>